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B32" w:rsidRDefault="00232B32" w:rsidP="00232B32">
      <w:pPr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  <w:r>
        <w:rPr>
          <w:rStyle w:val="Pogrubienie"/>
          <w:rFonts w:ascii="Times New Roman" w:hAnsi="Times New Roman" w:cs="Times New Roman"/>
          <w:sz w:val="24"/>
          <w:szCs w:val="24"/>
        </w:rPr>
        <w:t>Park Wszystkich Mieszkańców</w:t>
      </w:r>
      <w:r w:rsidRPr="00232B32">
        <w:t xml:space="preserve"> </w:t>
      </w:r>
      <w:r w:rsidRPr="00232B32">
        <w:rPr>
          <w:rStyle w:val="Pogrubienie"/>
          <w:rFonts w:ascii="Times New Roman" w:hAnsi="Times New Roman" w:cs="Times New Roman"/>
          <w:sz w:val="24"/>
          <w:szCs w:val="24"/>
        </w:rPr>
        <w:t>przy ul. Ciepłej w Malborku</w:t>
      </w:r>
    </w:p>
    <w:p w:rsidR="00232B32" w:rsidRDefault="00232B32" w:rsidP="00232B32">
      <w:pPr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32B32" w:rsidRPr="00232B32" w:rsidRDefault="00232B32" w:rsidP="00232B32">
      <w:pPr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  <w:u w:val="single"/>
        </w:rPr>
      </w:pPr>
      <w:r w:rsidRPr="00232B32">
        <w:rPr>
          <w:rStyle w:val="Pogrubienie"/>
          <w:rFonts w:ascii="Times New Roman" w:hAnsi="Times New Roman" w:cs="Times New Roman"/>
          <w:b w:val="0"/>
          <w:sz w:val="24"/>
          <w:szCs w:val="24"/>
          <w:u w:val="single"/>
        </w:rPr>
        <w:t xml:space="preserve">Cd. opisu dot. pkt. </w:t>
      </w:r>
    </w:p>
    <w:p w:rsidR="00232B32" w:rsidRPr="00232B32" w:rsidRDefault="00232B32" w:rsidP="00232B32">
      <w:pPr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  <w:u w:val="single"/>
        </w:rPr>
      </w:pPr>
      <w:r w:rsidRPr="00232B32">
        <w:rPr>
          <w:rStyle w:val="Pogrubienie"/>
          <w:rFonts w:ascii="Times New Roman" w:hAnsi="Times New Roman" w:cs="Times New Roman"/>
          <w:b w:val="0"/>
          <w:sz w:val="24"/>
          <w:szCs w:val="24"/>
          <w:u w:val="single"/>
        </w:rPr>
        <w:t xml:space="preserve">Szczegółowy opis projektu </w:t>
      </w:r>
    </w:p>
    <w:p w:rsidR="00232B32" w:rsidRPr="00232B32" w:rsidRDefault="00232B32" w:rsidP="00232B3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32B32">
        <w:rPr>
          <w:rStyle w:val="Pogrubienie"/>
          <w:rFonts w:ascii="Times New Roman" w:hAnsi="Times New Roman" w:cs="Times New Roman"/>
          <w:b w:val="0"/>
          <w:i/>
          <w:sz w:val="24"/>
          <w:szCs w:val="24"/>
        </w:rPr>
        <w:t xml:space="preserve">Tworzenie przyjaznych i naturalnych przestrzeni publicznych w Malborku jest niezbędne. Jednak nie róbmy już zamkniętych plastikowych placów zabaw, a ogrody przyciągające całe rodziny i jednocześnie stymulujące więzi międzypokoleniowe. </w:t>
      </w:r>
    </w:p>
    <w:p w:rsidR="00232B32" w:rsidRPr="00AD2787" w:rsidRDefault="00232B32" w:rsidP="00232B32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D278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Przebywanie w przestrzeni publicznej jest przecież zachowaniem społecznym będącym zasobem rozwojowym miasta.</w:t>
      </w:r>
      <w:r w:rsidRPr="00AD27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AD2787">
        <w:rPr>
          <w:rFonts w:ascii="Times New Roman" w:eastAsia="Times New Roman" w:hAnsi="Times New Roman" w:cs="Times New Roman"/>
          <w:sz w:val="24"/>
          <w:szCs w:val="24"/>
          <w:lang w:eastAsia="pl-PL"/>
        </w:rPr>
        <w:t>Rzecz tak banalna jak bycie „na dworze” jest dobrem samym w sobie. Można je traktować jak rodzaj zachowania społecznego niosącego szereg wymiernych korzyści społecznych takich jak:</w:t>
      </w:r>
    </w:p>
    <w:p w:rsidR="00232B32" w:rsidRPr="00AD2787" w:rsidRDefault="00232B32" w:rsidP="00232B3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7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zwiększanie </w:t>
      </w:r>
      <w:r w:rsidRPr="00AD27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poczucie bezpieczeństwa</w:t>
      </w:r>
      <w:r w:rsidRPr="00AD27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faktycznego bezpieczeństwo przestrzeni publicznych (obecność przechodniów to „żywy system” monitoringu i pierwszej pomocy)</w:t>
      </w:r>
    </w:p>
    <w:p w:rsidR="00232B32" w:rsidRPr="00AD2787" w:rsidRDefault="00232B32" w:rsidP="00232B3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7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zwiększanie </w:t>
      </w:r>
      <w:r w:rsidRPr="00AD27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troski mieszkańców o stan przestrzeni</w:t>
      </w:r>
      <w:r w:rsidRPr="00AD27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jej wyposażenia (mniej aktów wandalizmu, więcej aktów upiększania, gdyż im więcej coś używamy, tym bardziej to szanujemy)</w:t>
      </w:r>
    </w:p>
    <w:p w:rsidR="00232B32" w:rsidRPr="00AD2787" w:rsidRDefault="00232B32" w:rsidP="00232B3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7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zwiększanie </w:t>
      </w:r>
      <w:r w:rsidRPr="00AD27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poczucia odpowiedzialności</w:t>
      </w:r>
      <w:r w:rsidRPr="00AD27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miasto rozumianego jako udział w życiu obywatelskim (używając przestrzeni publicznych bardziej utożsamiamy się z miastem, lepiej je „czujemy”, chcemy o nim decydować)</w:t>
      </w:r>
    </w:p>
    <w:p w:rsidR="00232B32" w:rsidRPr="00AD2787" w:rsidRDefault="00232B32" w:rsidP="00232B3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7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umacnianie i </w:t>
      </w:r>
      <w:r w:rsidRPr="00AD27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rozwijanie tożsamości lokalnej</w:t>
      </w:r>
      <w:r w:rsidRPr="00AD27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(chodzi o warty wyodrębnienia wątek obcowania z dziedzictwem kultury poprzez zabytki, widoki i tzw. krajobraz niewidzialny”, czyli przebywanie w przestrzeni wzbogacone wiedzą o jej historii)</w:t>
      </w:r>
    </w:p>
    <w:p w:rsidR="00232B32" w:rsidRPr="00AD2787" w:rsidRDefault="00232B32" w:rsidP="00232B3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7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zwiększanie </w:t>
      </w:r>
      <w:r w:rsidRPr="00AD27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kapitału społecznego i kreatywności społecznej</w:t>
      </w:r>
      <w:r w:rsidRPr="00AD27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(przestrzeni publiczne to naturalne fizyczne „medium społecznościowe”, czego symbolem jest środowisko sportowo-rekreacyjne: rowery, biegacze, turyści itp.)</w:t>
      </w:r>
    </w:p>
    <w:p w:rsidR="00232B32" w:rsidRPr="00AD2787" w:rsidRDefault="00232B32" w:rsidP="00232B3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787">
        <w:rPr>
          <w:rFonts w:ascii="Times New Roman" w:eastAsia="Times New Roman" w:hAnsi="Times New Roman" w:cs="Times New Roman"/>
          <w:sz w:val="24"/>
          <w:szCs w:val="24"/>
          <w:lang w:eastAsia="pl-PL"/>
        </w:rPr>
        <w:t>pozytywny</w:t>
      </w:r>
      <w:r w:rsidRPr="00AD27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wpływ na myślenie</w:t>
      </w:r>
      <w:r w:rsidRPr="00AD27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(od starożytności wiadomo, że chodzenie pomaga w myśleniu, czego dowodem jest filozoficzna szkoła perypatetyków)</w:t>
      </w:r>
    </w:p>
    <w:p w:rsidR="00232B32" w:rsidRPr="00AD2787" w:rsidRDefault="00232B32" w:rsidP="00232B3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7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pozytywny </w:t>
      </w:r>
      <w:r w:rsidRPr="00AD27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wpływ na zdrowie</w:t>
      </w:r>
      <w:r w:rsidRPr="00AD27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(aktywność fizyczna jest podstawa współczesnej piramidy żywienia, poza tym, jest to temat-rzeka: walka z nadwagą, z chorobami kręgosłupa, układu krążenia – od spacerowania po sporty wymagające specjalnej infrastruktury</w:t>
      </w:r>
    </w:p>
    <w:p w:rsidR="00232B32" w:rsidRPr="00AD2787" w:rsidRDefault="00232B32" w:rsidP="00232B3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7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uwrażliwianie na przyrodę</w:t>
      </w:r>
      <w:r w:rsidRPr="00AD27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problemy ochrony środowiska naturalnego (nie wymaga komentarza)</w:t>
      </w:r>
    </w:p>
    <w:p w:rsidR="00232B32" w:rsidRPr="00AD2787" w:rsidRDefault="00232B32" w:rsidP="00232B3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7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pozytywny </w:t>
      </w:r>
      <w:r w:rsidRPr="00AD27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wpływ na dzieci</w:t>
      </w:r>
      <w:r w:rsidRPr="00AD27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 dzieciach jak w soczewce skupiają się i uwidaczniają związki bycia „na dworze” z </w:t>
      </w:r>
      <w:proofErr w:type="spellStart"/>
      <w:r w:rsidRPr="00AD278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well-being</w:t>
      </w:r>
      <w:proofErr w:type="spellEnd"/>
      <w:r w:rsidRPr="00AD27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od szanowania przestrzeni, przez zabawę w grupie, po wyrabianie właściwej postawy i tężyzny fizycznej. </w:t>
      </w:r>
    </w:p>
    <w:p w:rsidR="003333AD" w:rsidRDefault="00232B32" w:rsidP="00232B32"/>
    <w:sectPr w:rsidR="003333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CD1AE9"/>
    <w:multiLevelType w:val="multilevel"/>
    <w:tmpl w:val="160C2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B32"/>
    <w:rsid w:val="00232B32"/>
    <w:rsid w:val="002A18B6"/>
    <w:rsid w:val="00C50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7FA0D8-7F48-4137-9860-D33A548F6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2B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32B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333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Gosia-Komputer</dc:creator>
  <cp:keywords/>
  <dc:description/>
  <cp:lastModifiedBy>Gosia-Komputer</cp:lastModifiedBy>
  <cp:revision>1</cp:revision>
  <dcterms:created xsi:type="dcterms:W3CDTF">2019-04-26T12:57:00Z</dcterms:created>
  <dcterms:modified xsi:type="dcterms:W3CDTF">2019-04-26T13:00:00Z</dcterms:modified>
</cp:coreProperties>
</file>